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BEB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14:paraId="1C6133CF">
      <w:pPr>
        <w:spacing w:line="360" w:lineRule="auto"/>
        <w:jc w:val="both"/>
        <w:rPr>
          <w:b/>
          <w:bCs/>
          <w:i/>
          <w:iCs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</w:p>
    <w:p w14:paraId="64DAF057">
      <w:pPr>
        <w:spacing w:line="360" w:lineRule="auto"/>
        <w:jc w:val="both"/>
        <w:rPr>
          <w:b/>
          <w:bCs/>
          <w:i/>
          <w:iCs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b/>
          <w:bCs/>
          <w:i/>
          <w:iCs/>
          <w:color w:val="000000" w:themeColor="text1"/>
          <w:u w:val="single"/>
          <w14:textFill>
            <w14:solidFill>
              <w14:schemeClr w14:val="tx1"/>
            </w14:solidFill>
          </w14:textFill>
        </w:rPr>
        <w:t>Zasady realizacji obowiązku w zakresie informacji i promocji do umowy o przyznanie jednorazowo</w:t>
      </w:r>
    </w:p>
    <w:p w14:paraId="3E432AAC">
      <w:pPr>
        <w:spacing w:line="360" w:lineRule="auto"/>
        <w:jc w:val="both"/>
        <w:rPr>
          <w:i/>
          <w:iCs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b/>
          <w:bCs/>
          <w:i/>
          <w:iCs/>
          <w:color w:val="000000" w:themeColor="text1"/>
          <w:u w:val="single"/>
          <w14:textFill>
            <w14:solidFill>
              <w14:schemeClr w14:val="tx1"/>
            </w14:solidFill>
          </w14:textFill>
        </w:rPr>
        <w:t>środków na podjęcie działalności gospodarczej, realizowanej w ramach projektu „Aktywizacja zawodowa osób bezrobotnych z powiatu nowotomyskiego w ramach EFS + (II).</w:t>
      </w:r>
    </w:p>
    <w:p w14:paraId="31C8E5FF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1. Uczestnik projektu, któremu przyznano jednorazowo środki na podjęcie działalności gospodarczej,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zobligowany jest do wypełniania obowiązku w zakresie informacji i promocji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 zgodnie z:</w:t>
      </w:r>
    </w:p>
    <w:p w14:paraId="032C357E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Rozporządzeniem Parlamentu Europejskiego i Rady (UE) 2021/1060 z dnia 24 czerwca 2021 r.</w:t>
      </w:r>
    </w:p>
    <w:p w14:paraId="520CCBAF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ustanawiającego wspólne przepisy dotyczące Europejskiego Funduszu Rozwoju Regionalnego,</w:t>
      </w:r>
    </w:p>
    <w:p w14:paraId="4FEED929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Europejskiego Funduszu Społecznego Plus, Funduszu Spójności, Funduszu na rzecz Sprawiedliwej</w:t>
      </w:r>
    </w:p>
    <w:p w14:paraId="190DC98C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Transformacji i Europejskiego Funduszu Morskiego, Rybackiego i Akwakultury, a także przepisy</w:t>
      </w:r>
    </w:p>
    <w:p w14:paraId="40F9B68F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finansowe na potrzeby tych funduszy oraz na potrzeby Funduszu Azylu, Migracji i Integracji,</w:t>
      </w:r>
    </w:p>
    <w:p w14:paraId="46DD565A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Funduszu Bezpieczeństwa Wewnętrznego i Instrumentu Wsparcia Finansowego na rzecz</w:t>
      </w:r>
    </w:p>
    <w:p w14:paraId="3446A2B2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Zarządzania Granicami i Polityki Wizowej (w szczególności z załącznikiem IX – Komunikacja </w:t>
      </w:r>
    </w:p>
    <w:p w14:paraId="14DC6500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i widoczność),</w:t>
      </w:r>
    </w:p>
    <w:p w14:paraId="661B7EC6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Podręcznikiem wnioskodawcy i beneficjenta Funduszy Europejskich na lata 2021-2027 w zakresie</w:t>
      </w:r>
    </w:p>
    <w:p w14:paraId="11FCC2BE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informacji i promocji.</w:t>
      </w:r>
    </w:p>
    <w:p w14:paraId="49657927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2. W zakresie poniższych obowiązków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należy postępować zgodnie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z zasadami wskazanymi w ww.</w:t>
      </w:r>
    </w:p>
    <w:p w14:paraId="54E5B6D1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Podręczniku z uwzględnieniem rekomendacji Instytucji Pośredniczącej – Wojewódzkiego Urzędu Pracy w Poznaniu, tj.:</w:t>
      </w:r>
    </w:p>
    <w:p w14:paraId="10B8323E">
      <w:pPr>
        <w:pStyle w:val="14"/>
        <w:numPr>
          <w:ilvl w:val="0"/>
          <w:numId w:val="1"/>
        </w:num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Umieszczanie znaków graficznych na działaniach informacyjnych i promocyjnych, dokumentach i materiałach związanych z realizacją projektu oraz podawanych do publicznej wiadomości np.: e-publikacje, ulotki, broszury, publikacje, notatki prasowe, sklepy internetowe, newslettery, mailing, materiały filmowe, materiały promocyjne, konferencje, </w:t>
      </w:r>
    </w:p>
    <w:p w14:paraId="0BA34E1D">
      <w:pPr>
        <w:pStyle w:val="14"/>
        <w:spacing w:line="360" w:lineRule="auto"/>
        <w:ind w:left="0" w:leftChars="0" w:firstLine="708" w:firstLineChars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spotkania oraz na dokumentacji przetargowej, ogłoszeniach, analizach, raportach, wzorach </w:t>
      </w:r>
      <w:r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umów, wzorach wniosków, zgodnie z poniższym zestawieniem:</w:t>
      </w:r>
    </w:p>
    <w:p w14:paraId="12F86E61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0BC076F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6B1664C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FAF296C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617845" cy="567055"/>
            <wp:effectExtent l="0" t="0" r="1905" b="4445"/>
            <wp:docPr id="1687650346" name="Obraz 1687650346" descr="logo WRP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650346" name="Obraz 1687650346" descr="logo WRPO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4F830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E422F1D">
      <w:pPr>
        <w:pStyle w:val="14"/>
        <w:numPr>
          <w:ilvl w:val="0"/>
          <w:numId w:val="1"/>
        </w:num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Wywieszenie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plakatu informacyjnego w widocznym i dostępnym publicznie miejscu w okresie</w:t>
      </w:r>
    </w:p>
    <w:p w14:paraId="5C165808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trwania umowy (jeśli działania w ramach projektu są realizowane w kilku lokalizacjach, plakaty należy umieścić w każdej z nich). W przypadku prowadzenia działalności „mobilnej” – plakat należy umieścić w siedzibie firmy.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Uszkodzony lub nieczytelny plakat należy wymienić (do odbioru w siedzicie PUP).</w:t>
      </w:r>
    </w:p>
    <w:p w14:paraId="603C0558">
      <w:pPr>
        <w:pStyle w:val="14"/>
        <w:numPr>
          <w:ilvl w:val="0"/>
          <w:numId w:val="1"/>
        </w:num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Umieszczenie naklejek informujących o współfinansowaniu ze środków unijnych zakupionych:</w:t>
      </w:r>
    </w:p>
    <w:p w14:paraId="79A5E405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sprzętów, maszyn, urządzeń (np. produkcyjnych czy laboratoryjnych, komputerów, laptopów,</w:t>
      </w:r>
    </w:p>
    <w:p w14:paraId="6C2998F6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tabletów, drukarek), środków transportu, aparatury (m.in. laboratoryjnej, medycznej, modelach</w:t>
      </w:r>
    </w:p>
    <w:p w14:paraId="12DE0D08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szkoleniowych), środków i pomocy dydaktycznych itp. Naklejki muszą znajdować się w dobrze widocznym miejscu przez cały okres użytkowania tego sprzętu.</w:t>
      </w:r>
    </w:p>
    <w:p w14:paraId="6BA6A287">
      <w:pPr>
        <w:spacing w:line="360" w:lineRule="auto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Naklejki muszą być trwałe – uszkodzoną lub nieczytelną naklejkę należy wymienić (do odbioru w siedzibie PUP).</w:t>
      </w:r>
    </w:p>
    <w:p w14:paraId="72B5FED7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WAŻNE!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Nie należy umieszczać naklejek na przedmiotach użytku codziennego, których znaczenie ma charakter pomocniczy/dodatkowy w projekcie (np. akcesoria biurowe, lampki biurkowe, drobne elementy wyposażenia pomieszczeń).</w:t>
      </w:r>
    </w:p>
    <w:p w14:paraId="4AFE6A3A">
      <w:pPr>
        <w:pStyle w:val="14"/>
        <w:numPr>
          <w:ilvl w:val="0"/>
          <w:numId w:val="1"/>
        </w:num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Umieszczenie na oficjalnej stronie internetowej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(jeśli dotyczy) i w mediach społecznościowych (obowiązkowo) prowadzonej działalności informacji w zakresie:</w:t>
      </w:r>
    </w:p>
    <w:p w14:paraId="1D3E111C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oznakowania strony internetowej (u góry strony) wymaganymi logotypami zgodnie z Podręcznikiem</w:t>
      </w:r>
    </w:p>
    <w:p w14:paraId="71231112">
      <w:pPr>
        <w:spacing w:line="360" w:lineRule="auto"/>
        <w:jc w:val="both"/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wersji pełnokolorowej (nie ma możliwości zastosowania wersji achromatycznych), tj. </w:t>
      </w:r>
      <w:r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  <w:t>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oniżej</w:t>
      </w:r>
      <w:r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  <w:t>:</w:t>
      </w:r>
    </w:p>
    <w:p w14:paraId="1721B0A7">
      <w:pPr>
        <w:spacing w:line="360" w:lineRule="auto"/>
        <w:jc w:val="both"/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</w:p>
    <w:p w14:paraId="7A7D568C">
      <w:pPr>
        <w:spacing w:line="360" w:lineRule="auto"/>
        <w:jc w:val="both"/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</w:p>
    <w:p w14:paraId="54BEDBEE">
      <w:pPr>
        <w:spacing w:line="360" w:lineRule="auto"/>
        <w:jc w:val="both"/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</w:p>
    <w:p w14:paraId="1106EA02">
      <w:pPr>
        <w:spacing w:line="360" w:lineRule="auto"/>
        <w:jc w:val="both"/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</w:p>
    <w:p w14:paraId="0CD7E9F3">
      <w:pPr>
        <w:spacing w:line="360" w:lineRule="auto"/>
        <w:jc w:val="both"/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</w:p>
    <w:p w14:paraId="6952DEB1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617845" cy="567055"/>
            <wp:effectExtent l="0" t="0" r="1905" b="4445"/>
            <wp:docPr id="2" name="Obraz 2" descr="logo WRP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WRPO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60F95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poinformowania o uzyskaniu dofinansowania do podjęcia działalności gospodarczej ze środków Unii</w:t>
      </w:r>
    </w:p>
    <w:p w14:paraId="54009474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Europejskiej oraz o charakterze prowadzonej działalności gospodarczej, w tym zamieszczenia</w:t>
      </w:r>
    </w:p>
    <w:p w14:paraId="354C115D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informacji o projekcie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„Aktywizacja zawodowa osób bezrobotnych z powiatu nowotomyskiego w ramach EFS + (II)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dofinansowanego ze środków Europejskiego Funduszu Społecznego Plus,</w:t>
      </w:r>
    </w:p>
    <w:p w14:paraId="4242F3DA">
      <w:pPr>
        <w:spacing w:line="360" w:lineRule="auto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- w przypadku posiadania profilu imiennego lub braku profilu w mediach społecznościowych,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należy</w:t>
      </w:r>
    </w:p>
    <w:p w14:paraId="1D91CE96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obowiązkowo założyć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ww. profil dla prowadzonej działalności gospodarczej.</w:t>
      </w:r>
    </w:p>
    <w:p w14:paraId="7DAF028A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 Otrzymanie materiałów promocyjnych potwierdzane jest „Protokołem odbioru materiałów</w:t>
      </w:r>
    </w:p>
    <w:p w14:paraId="3E017539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promocyjnych do umowy o przyznanie jednorazowo środków na podjęcie działalności gospodarczej</w:t>
      </w:r>
    </w:p>
    <w:p w14:paraId="58FAE6BE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ramach projektu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„Aktywizacja zawodowa osób bezrobotnych z powiatu nowotomyskiego w ramach EFS + (II)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dofinansowanego ze środków Europejskiego Funduszu Społecznego Plus”.</w:t>
      </w:r>
    </w:p>
    <w:p w14:paraId="2C72FB77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4. Spełnienie warunków w zakresie informacji i promocji weryfikowane jest przez Powiatowy Urząd</w:t>
      </w:r>
    </w:p>
    <w:p w14:paraId="5225C20C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Pracy w Nowym Tomyślu w okresie obowiązywania umowy o przyznanie jednorazowo środków na podjęcie działalności gospodarczej, w trakcie wizytacji monitorującej.</w:t>
      </w:r>
    </w:p>
    <w:p w14:paraId="39127FE6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5. Brak działań promocyjnych lub ich realizacja niezgodnie z powyższymi zasadami, stanowi naruszenie zapisów umowy o przyznanie jednorazowo środków na podjęcie działalności gospodarczej zgodnie z § 20 pkt 1 i 3.</w:t>
      </w:r>
    </w:p>
    <w:p w14:paraId="15C1761F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6. Materiały niezbędne do wypełnienia obowiązku w zakresie informacji i promocji udostępnione są na stronie internetowej Powiatowego Urzędu Pracy w Nowym Tomyślu w ogłoszeniu o naborze </w:t>
      </w:r>
    </w:p>
    <w:p w14:paraId="39701DB1">
      <w:pPr>
        <w:spacing w:line="360" w:lineRule="auto"/>
        <w:jc w:val="both"/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pn.: Obowiązek w zakresie informacji i promocji 2021-2027.</w:t>
      </w:r>
    </w:p>
    <w:p w14:paraId="765604A8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7. W przypadku pytań lub wątpliwości dotyczących wypełnienia obowiązku w zakresie informacji i</w:t>
      </w:r>
    </w:p>
    <w:p w14:paraId="5CFD9E3C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promocji, zapytania należy kierować telefonicznie pod numerem 61 4451533. </w:t>
      </w:r>
    </w:p>
    <w:p w14:paraId="08AC51B8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3D959F5">
      <w:pPr>
        <w:spacing w:line="360" w:lineRule="auto"/>
        <w:jc w:val="both"/>
        <w:rPr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</w:p>
    <w:p w14:paraId="642657AE">
      <w:pPr>
        <w:spacing w:line="360" w:lineRule="auto"/>
        <w:jc w:val="both"/>
        <w:rPr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</w:p>
    <w:p w14:paraId="55C7C53A">
      <w:pPr>
        <w:spacing w:line="360" w:lineRule="auto"/>
        <w:jc w:val="both"/>
        <w:rPr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Przykładowy opis na stronę internetową i w mediach społecznościowych:</w:t>
      </w:r>
    </w:p>
    <w:p w14:paraId="6BE6238D">
      <w:pPr>
        <w:pStyle w:val="15"/>
        <w:spacing w:line="360" w:lineRule="auto"/>
        <w:jc w:val="both"/>
        <w:rPr>
          <w:rFonts w:eastAsia="Calibri" w:asciiTheme="minorHAnsi" w:hAnsiTheme="minorHAnsi"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Calibri" w:asciiTheme="minorHAnsi" w:hAnsiTheme="minorHAnsi"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Po podpisaniu umowy o przyznanie jednorazowo środków na podjęcie działalności gospodarczej umieść informację o dofinansowaniu na stronie internetowej Twojej działalności gospodarczej (jeśli ją prowadzisz) oraz na profilu w mediach społecznościowych (warunek konieczny), w 3 krokach:</w:t>
      </w:r>
    </w:p>
    <w:p w14:paraId="76EEBE1F">
      <w:pPr>
        <w:pStyle w:val="16"/>
        <w:numPr>
          <w:ilvl w:val="0"/>
          <w:numId w:val="2"/>
        </w:numPr>
        <w:spacing w:line="360" w:lineRule="auto"/>
        <w:jc w:val="both"/>
        <w:rPr>
          <w:rFonts w:eastAsia="Calibri" w:asciiTheme="minorHAnsi" w:hAnsiTheme="minorHAnsi"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Calibri" w:asciiTheme="minorHAnsi" w:hAnsiTheme="minorHAnsi"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Umieść informację o dofinansowaniu:</w:t>
      </w:r>
    </w:p>
    <w:p w14:paraId="4000ACAA">
      <w:pPr>
        <w:pStyle w:val="15"/>
        <w:spacing w:line="360" w:lineRule="auto"/>
        <w:jc w:val="both"/>
        <w:rPr>
          <w:rFonts w:eastAsia="Calibri" w:asciiTheme="minorHAnsi" w:hAnsiTheme="minorHAnsi"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Calibri" w:asciiTheme="minorHAnsi" w:hAnsiTheme="minorHAnsi"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Otworzyłem/am swoją firmę po podpisaniu umowy na przyznanie jednorazowo środków</w:t>
      </w:r>
      <w:r>
        <w:rPr>
          <w:rFonts w:eastAsia="Calibri" w:asciiTheme="minorHAnsi" w:hAnsiTheme="minorHAnsi"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eastAsia="Calibri" w:asciiTheme="minorHAnsi" w:hAnsiTheme="minorHAnsi"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na podjęcie działalności gospodarczej w ramach projektu „</w:t>
      </w:r>
      <w:r>
        <w:rPr>
          <w:rFonts w:eastAsia="Calibri" w:asciiTheme="minorHAnsi" w:hAnsiTheme="minorHAnsi"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AKTYWIZACJA ZAWODOWA OSÓB BEZROBOTNYCH Z POWIATU NOWOTOMYSKIEGO W RAMACH EFS+ (II)</w:t>
      </w:r>
      <w:r>
        <w:rPr>
          <w:rFonts w:eastAsia="Calibri" w:asciiTheme="minorHAnsi" w:hAnsiTheme="minorHAnsi"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” dofinansowanego ze środków Europejskiego Funduszu Społecznego Plus realizowanego przez Powiatowy Urząd Pracy w Nowym Tomyślu.</w:t>
      </w:r>
    </w:p>
    <w:p w14:paraId="74ECC3E8">
      <w:pPr>
        <w:pStyle w:val="15"/>
        <w:tabs>
          <w:tab w:val="right" w:pos="6795"/>
          <w:tab w:val="right" w:pos="31680"/>
        </w:tabs>
        <w:spacing w:line="360" w:lineRule="auto"/>
        <w:jc w:val="both"/>
        <w:rPr>
          <w:rFonts w:eastAsia="Calibri" w:asciiTheme="minorHAnsi" w:hAnsiTheme="minorHAnsi"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Calibri" w:asciiTheme="minorHAnsi" w:hAnsiTheme="minorHAnsi"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Moja firma zajmuje się ……. </w:t>
      </w:r>
      <w:r>
        <w:rPr>
          <w:rFonts w:eastAsia="Calibri" w:asciiTheme="minorHAnsi" w:hAnsiTheme="minorHAnsi" w:cstheme="minorHAnsi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(kilka zdań na temat rodzaju prowadzonej działalności gospodarczej).</w:t>
      </w:r>
    </w:p>
    <w:p w14:paraId="3A24866E">
      <w:pPr>
        <w:pStyle w:val="16"/>
        <w:numPr>
          <w:ilvl w:val="0"/>
          <w:numId w:val="2"/>
        </w:numPr>
        <w:spacing w:line="360" w:lineRule="auto"/>
        <w:jc w:val="both"/>
        <w:rPr>
          <w:rFonts w:eastAsia="Calibri" w:asciiTheme="minorHAnsi" w:hAnsiTheme="minorHAnsi"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Calibri" w:asciiTheme="minorHAnsi" w:hAnsiTheme="minorHAnsi"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Oznacz hasztagami (jedynie w przypadku mediów społecznościowych):</w:t>
      </w:r>
    </w:p>
    <w:p w14:paraId="2645FA36">
      <w:pPr>
        <w:pStyle w:val="15"/>
        <w:spacing w:line="360" w:lineRule="auto"/>
        <w:jc w:val="both"/>
        <w:rPr>
          <w:rFonts w:eastAsia="Calibri" w:asciiTheme="minorHAnsi" w:hAnsiTheme="minorHAnsi"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Calibri" w:asciiTheme="minorHAnsi" w:hAnsiTheme="minorHAnsi"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#FunduszeUE i/lub #FunduszeEuropejskie</w:t>
      </w:r>
    </w:p>
    <w:p w14:paraId="659CB1B2">
      <w:pPr>
        <w:pStyle w:val="16"/>
        <w:numPr>
          <w:ilvl w:val="0"/>
          <w:numId w:val="2"/>
        </w:numPr>
        <w:spacing w:line="360" w:lineRule="auto"/>
        <w:jc w:val="both"/>
        <w:rPr>
          <w:rFonts w:eastAsia="Calibri" w:asciiTheme="minorHAnsi" w:hAnsiTheme="minorHAnsi"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Calibri" w:asciiTheme="minorHAnsi" w:hAnsiTheme="minorHAnsi"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Wstaw logotypy:</w:t>
      </w:r>
    </w:p>
    <w:p w14:paraId="4759EFD3">
      <w:pPr>
        <w:pStyle w:val="15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81675" cy="609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25CA6"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FCD5FA4">
      <w:pPr>
        <w:jc w:val="right"/>
        <w:rPr>
          <w:sz w:val="24"/>
          <w:szCs w:val="24"/>
        </w:rPr>
      </w:pPr>
    </w:p>
    <w:p w14:paraId="04D14F1D">
      <w:pPr>
        <w:jc w:val="right"/>
        <w:rPr>
          <w:sz w:val="24"/>
          <w:szCs w:val="24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ook Antiqua">
    <w:panose1 w:val="02040602050305030304"/>
    <w:charset w:val="EE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AB720">
    <w:pPr>
      <w:pStyle w:val="8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-661670</wp:posOffset>
          </wp:positionH>
          <wp:positionV relativeFrom="page">
            <wp:posOffset>28575</wp:posOffset>
          </wp:positionV>
          <wp:extent cx="7085965" cy="10533380"/>
          <wp:effectExtent l="0" t="0" r="635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4409" cy="10560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F16B2"/>
    <w:multiLevelType w:val="multilevel"/>
    <w:tmpl w:val="107F16B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2C352E90"/>
    <w:multiLevelType w:val="multilevel"/>
    <w:tmpl w:val="2C352E9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DF"/>
    <w:rsid w:val="00017E60"/>
    <w:rsid w:val="00082F63"/>
    <w:rsid w:val="00097183"/>
    <w:rsid w:val="00114403"/>
    <w:rsid w:val="001702BD"/>
    <w:rsid w:val="00190F9B"/>
    <w:rsid w:val="001E34AC"/>
    <w:rsid w:val="00230403"/>
    <w:rsid w:val="00263781"/>
    <w:rsid w:val="0028151D"/>
    <w:rsid w:val="002970B4"/>
    <w:rsid w:val="002B1626"/>
    <w:rsid w:val="0031299A"/>
    <w:rsid w:val="003237DC"/>
    <w:rsid w:val="003667C3"/>
    <w:rsid w:val="00375EC7"/>
    <w:rsid w:val="004048C1"/>
    <w:rsid w:val="004279FF"/>
    <w:rsid w:val="00463DEF"/>
    <w:rsid w:val="004704DA"/>
    <w:rsid w:val="0048578A"/>
    <w:rsid w:val="00517014"/>
    <w:rsid w:val="005A272B"/>
    <w:rsid w:val="005B7105"/>
    <w:rsid w:val="00626E4F"/>
    <w:rsid w:val="00657C0D"/>
    <w:rsid w:val="0072104B"/>
    <w:rsid w:val="0081448E"/>
    <w:rsid w:val="00845169"/>
    <w:rsid w:val="008903F0"/>
    <w:rsid w:val="008A6EA4"/>
    <w:rsid w:val="008B3CD7"/>
    <w:rsid w:val="008D5845"/>
    <w:rsid w:val="00926706"/>
    <w:rsid w:val="0094396A"/>
    <w:rsid w:val="009F42DF"/>
    <w:rsid w:val="00A0088A"/>
    <w:rsid w:val="00A115DC"/>
    <w:rsid w:val="00A75A13"/>
    <w:rsid w:val="00BF1D82"/>
    <w:rsid w:val="00D41D94"/>
    <w:rsid w:val="00D94E8C"/>
    <w:rsid w:val="00DD7972"/>
    <w:rsid w:val="00EA0BDA"/>
    <w:rsid w:val="00EA1AC1"/>
    <w:rsid w:val="00EC7812"/>
    <w:rsid w:val="00ED4A25"/>
    <w:rsid w:val="00EE13FC"/>
    <w:rsid w:val="00EF4AAA"/>
    <w:rsid w:val="00F50CB3"/>
    <w:rsid w:val="7D1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3"/>
    <w:basedOn w:val="1"/>
    <w:next w:val="1"/>
    <w:link w:val="11"/>
    <w:semiHidden/>
    <w:unhideWhenUsed/>
    <w:qFormat/>
    <w:uiPriority w:val="0"/>
    <w:pPr>
      <w:keepNext/>
      <w:spacing w:after="0" w:line="360" w:lineRule="auto"/>
      <w:ind w:left="4248" w:firstLine="708"/>
      <w:outlineLvl w:val="2"/>
    </w:pPr>
    <w:rPr>
      <w:rFonts w:ascii="Book Antiqua" w:hAnsi="Book Antiqua" w:eastAsia="Times New Roman" w:cs="Times New Roman"/>
      <w:i/>
      <w:color w:val="003366"/>
      <w:sz w:val="24"/>
      <w:szCs w:val="24"/>
      <w:lang w:eastAsia="pl-PL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2"/>
    <w:semiHidden/>
    <w:unhideWhenUsed/>
    <w:uiPriority w:val="0"/>
    <w:pPr>
      <w:spacing w:after="0" w:line="360" w:lineRule="auto"/>
      <w:jc w:val="both"/>
    </w:pPr>
    <w:rPr>
      <w:rFonts w:ascii="Book Antiqua" w:hAnsi="Book Antiqua" w:eastAsia="Times New Roman" w:cs="Times New Roman"/>
      <w:i/>
      <w:sz w:val="24"/>
      <w:szCs w:val="24"/>
      <w:lang w:eastAsia="pl-PL"/>
    </w:rPr>
  </w:style>
  <w:style w:type="paragraph" w:styleId="6">
    <w:name w:val="Body Text Indent"/>
    <w:basedOn w:val="1"/>
    <w:link w:val="13"/>
    <w:semiHidden/>
    <w:unhideWhenUsed/>
    <w:qFormat/>
    <w:uiPriority w:val="0"/>
    <w:pPr>
      <w:spacing w:after="0" w:line="360" w:lineRule="auto"/>
      <w:ind w:firstLine="708"/>
      <w:jc w:val="both"/>
    </w:pPr>
    <w:rPr>
      <w:rFonts w:ascii="Book Antiqua" w:hAnsi="Book Antiqua" w:eastAsia="Times New Roman" w:cs="Times New Roman"/>
      <w:i/>
      <w:sz w:val="24"/>
      <w:szCs w:val="24"/>
      <w:lang w:eastAsia="pl-PL"/>
    </w:rPr>
  </w:style>
  <w:style w:type="paragraph" w:styleId="7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Nagłówek Znak"/>
    <w:basedOn w:val="3"/>
    <w:link w:val="8"/>
    <w:uiPriority w:val="99"/>
  </w:style>
  <w:style w:type="character" w:customStyle="1" w:styleId="10">
    <w:name w:val="Stopka Znak"/>
    <w:basedOn w:val="3"/>
    <w:link w:val="7"/>
    <w:qFormat/>
    <w:uiPriority w:val="99"/>
  </w:style>
  <w:style w:type="character" w:customStyle="1" w:styleId="11">
    <w:name w:val="Nagłówek 3 Znak"/>
    <w:basedOn w:val="3"/>
    <w:link w:val="2"/>
    <w:semiHidden/>
    <w:qFormat/>
    <w:uiPriority w:val="0"/>
    <w:rPr>
      <w:rFonts w:ascii="Book Antiqua" w:hAnsi="Book Antiqua" w:eastAsia="Times New Roman" w:cs="Times New Roman"/>
      <w:i/>
      <w:color w:val="003366"/>
      <w:sz w:val="24"/>
      <w:szCs w:val="24"/>
      <w:lang w:eastAsia="pl-PL"/>
    </w:rPr>
  </w:style>
  <w:style w:type="character" w:customStyle="1" w:styleId="12">
    <w:name w:val="Tekst podstawowy Znak"/>
    <w:basedOn w:val="3"/>
    <w:link w:val="5"/>
    <w:semiHidden/>
    <w:qFormat/>
    <w:uiPriority w:val="0"/>
    <w:rPr>
      <w:rFonts w:ascii="Book Antiqua" w:hAnsi="Book Antiqua" w:eastAsia="Times New Roman" w:cs="Times New Roman"/>
      <w:i/>
      <w:sz w:val="24"/>
      <w:szCs w:val="24"/>
      <w:lang w:eastAsia="pl-PL"/>
    </w:rPr>
  </w:style>
  <w:style w:type="character" w:customStyle="1" w:styleId="13">
    <w:name w:val="Tekst podstawowy wcięty Znak"/>
    <w:basedOn w:val="3"/>
    <w:link w:val="6"/>
    <w:semiHidden/>
    <w:uiPriority w:val="0"/>
    <w:rPr>
      <w:rFonts w:ascii="Book Antiqua" w:hAnsi="Book Antiqua" w:eastAsia="Times New Roman" w:cs="Times New Roman"/>
      <w:i/>
      <w:sz w:val="24"/>
      <w:szCs w:val="24"/>
      <w:lang w:eastAsia="pl-PL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Normalny1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pl-PL" w:eastAsia="pl-PL" w:bidi="ar-SA"/>
    </w:rPr>
  </w:style>
  <w:style w:type="paragraph" w:customStyle="1" w:styleId="16">
    <w:name w:val="Akapit z listą1"/>
    <w:basedOn w:val="1"/>
    <w:uiPriority w:val="0"/>
    <w:pPr>
      <w:spacing w:before="100" w:beforeAutospacing="1" w:after="100" w:afterAutospacing="1" w:line="256" w:lineRule="auto"/>
      <w:contextualSpacing/>
    </w:pPr>
    <w:rPr>
      <w:rFonts w:ascii="Calibri" w:hAnsi="Calibri" w:eastAsia="Times New Roman" w:cs="Times New Roman"/>
      <w:sz w:val="24"/>
      <w:szCs w:val="24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880</Words>
  <Characters>5283</Characters>
  <Lines>44</Lines>
  <Paragraphs>12</Paragraphs>
  <TotalTime>4</TotalTime>
  <ScaleCrop>false</ScaleCrop>
  <LinksUpToDate>false</LinksUpToDate>
  <CharactersWithSpaces>6151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2025-09-18T09:56:00Z</dcterms:created>
  <dc:creator>Krystian Dybek</dc:creator>
  <cp:lastModifiedBy>n.hewczuk</cp:lastModifiedBy>
  <cp:lastPrinted>2025-03-12T08:43:00Z</cp:lastPrinted>
  <dcterms:modified xsi:type="dcterms:W3CDTF">2025-09-18T10:01:52Z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84E59572B1A34B43B29D1F09271F071A_12</vt:lpwstr>
  </property>
</Properties>
</file>