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8F83" w14:textId="77777777" w:rsidR="00A21721" w:rsidRPr="00A21721" w:rsidRDefault="00A21721" w:rsidP="00A21721">
      <w:pPr>
        <w:jc w:val="center"/>
        <w:rPr>
          <w:rFonts w:ascii="Verdana" w:hAnsi="Verdana" w:cs="Cambria Math"/>
          <w:b/>
          <w:bCs/>
          <w:color w:val="0070C0"/>
        </w:rPr>
      </w:pPr>
      <w:r w:rsidRPr="00A21721">
        <w:rPr>
          <w:rFonts w:ascii="Verdana" w:hAnsi="Verdana" w:cs="Cambria Math"/>
          <w:b/>
          <w:bCs/>
          <w:color w:val="0070C0"/>
        </w:rPr>
        <w:t>OPISY  PRIORYTETÓW</w:t>
      </w:r>
    </w:p>
    <w:p w14:paraId="18EA03D8" w14:textId="3CC04BB7" w:rsidR="001507C6" w:rsidRPr="009C7A74" w:rsidRDefault="001507C6" w:rsidP="00A21721">
      <w:pPr>
        <w:rPr>
          <w:rFonts w:ascii="Verdana" w:hAnsi="Verdana"/>
        </w:rPr>
      </w:pPr>
      <w:r w:rsidRPr="009C7A74">
        <w:rPr>
          <w:rFonts w:ascii="Verdana" w:hAnsi="Verdana"/>
        </w:rPr>
        <w:br/>
      </w:r>
      <w:r w:rsidR="009C7A74" w:rsidRPr="009C7A74">
        <w:rPr>
          <w:rFonts w:ascii="Verdana" w:hAnsi="Verdana"/>
          <w:b/>
          <w:bCs/>
        </w:rPr>
        <w:br/>
      </w:r>
      <w:r w:rsidR="009C7A74" w:rsidRPr="00A21721">
        <w:rPr>
          <w:rFonts w:ascii="Verdana" w:hAnsi="Verdana" w:cs="Cambria Math"/>
          <w:b/>
          <w:bCs/>
          <w:color w:val="EE0000"/>
        </w:rPr>
        <w:t>PRIORYTET NR 1: POPRAWA ZARZĄDZANIA I KOMUNIKACJI W FIRMIE W OPARCIU O ZASADY PRZECIWDZIAŁANIA DYSKRYMINACJI I MOBBINGOWI, ROZWOJU DIALOGU SPOŁECZNEGO, PARTYCYPACJI PRACOWNICZEJ I WSPIERANIA INTEGRACJI W MIEJSCU PRACY</w:t>
      </w:r>
      <w:r w:rsidRPr="009C7A74">
        <w:rPr>
          <w:rFonts w:ascii="Verdana" w:hAnsi="Verdana"/>
        </w:rPr>
        <w:br/>
      </w:r>
      <w:r w:rsidRPr="009C7A74">
        <w:rPr>
          <w:rFonts w:ascii="Verdana" w:hAnsi="Verdana"/>
        </w:rPr>
        <w:br/>
      </w:r>
      <w:proofErr w:type="spellStart"/>
      <w:r w:rsidRPr="009C7A74">
        <w:rPr>
          <w:rFonts w:ascii="Verdana" w:hAnsi="Verdana"/>
        </w:rPr>
        <w:t>Mobbing</w:t>
      </w:r>
      <w:proofErr w:type="spellEnd"/>
      <w:r w:rsidRPr="009C7A74">
        <w:rPr>
          <w:rFonts w:ascii="Verdana" w:hAnsi="Verdana"/>
        </w:rPr>
        <w:t xml:space="preserve"> i dyskryminacja to jedno z najpoważniejszych zagrożeń spotykanych w wielu firmach.</w:t>
      </w:r>
      <w:r w:rsidRPr="009C7A74">
        <w:rPr>
          <w:rFonts w:ascii="Verdana" w:hAnsi="Verdana"/>
        </w:rPr>
        <w:br/>
      </w:r>
      <w:r w:rsidRPr="009C7A74">
        <w:rPr>
          <w:rFonts w:ascii="Verdana" w:hAnsi="Verdana"/>
        </w:rPr>
        <w:br/>
        <w:t xml:space="preserve">Dlatego kreowanie bezpiecznego i wspierającego środowiska pracy jest kluczową rolą pracodawców, sprzyja efektywności pracowników. Dlatego też dialog społeczny stanowi bardzo ważną funkcję w zapobieganiu tym zjawiskom. Poprzez współpracę między pracodawcami, pracownikami i związkami zawodowymi możliwe jest wykształcenie umiejętności identyfikowania oraz reagowania na </w:t>
      </w:r>
      <w:proofErr w:type="spellStart"/>
      <w:r w:rsidRPr="009C7A74">
        <w:rPr>
          <w:rFonts w:ascii="Verdana" w:hAnsi="Verdana"/>
        </w:rPr>
        <w:t>mobbing</w:t>
      </w:r>
      <w:proofErr w:type="spellEnd"/>
      <w:r w:rsidRPr="009C7A74">
        <w:rPr>
          <w:rFonts w:ascii="Verdana" w:hAnsi="Verdana"/>
        </w:rPr>
        <w:t xml:space="preserve"> i dyskryminację na każdym szczeblu organizacyjnym, co przyczynia się do budowania kultur organizacyjnych opartych na szacunku i równości.</w:t>
      </w:r>
      <w:r w:rsidRPr="009C7A74">
        <w:rPr>
          <w:rFonts w:ascii="Verdana" w:hAnsi="Verdana"/>
        </w:rPr>
        <w:br/>
      </w:r>
      <w:r w:rsidRPr="009C7A74">
        <w:rPr>
          <w:rFonts w:ascii="Verdana" w:hAnsi="Verdana"/>
        </w:rPr>
        <w:br/>
        <w:t>Szkolenia powinny zatem zawierać tematykę, w ramach której pracodawcy i pracownicy zostaną wyposażeni w wiedzę i umiejętności m.in.:</w:t>
      </w:r>
      <w:r w:rsidRPr="009C7A74">
        <w:rPr>
          <w:rFonts w:ascii="Verdana" w:hAnsi="Verdana"/>
        </w:rPr>
        <w:br/>
      </w:r>
      <w:r w:rsidRPr="009C7A74">
        <w:rPr>
          <w:rFonts w:ascii="Segoe UI Symbol" w:hAnsi="Segoe UI Symbol" w:cs="Segoe UI Symbol"/>
        </w:rPr>
        <w:t>✓</w:t>
      </w:r>
      <w:r w:rsidRPr="009C7A74">
        <w:rPr>
          <w:rFonts w:ascii="Verdana" w:hAnsi="Verdana"/>
        </w:rPr>
        <w:t xml:space="preserve"> do rozpoznawania, rozumienia i przeciwdziałania </w:t>
      </w:r>
      <w:proofErr w:type="spellStart"/>
      <w:r w:rsidRPr="009C7A74">
        <w:rPr>
          <w:rFonts w:ascii="Verdana" w:hAnsi="Verdana"/>
        </w:rPr>
        <w:t>mobbingowi</w:t>
      </w:r>
      <w:proofErr w:type="spellEnd"/>
      <w:r w:rsidRPr="009C7A74">
        <w:rPr>
          <w:rFonts w:ascii="Verdana" w:hAnsi="Verdana"/>
        </w:rPr>
        <w:t xml:space="preserve"> w miejscu pracy, co zwiększy ich uważność na sposób komunikacji i budowania relacji w ich zespołach,</w:t>
      </w:r>
      <w:r w:rsidRPr="009C7A74">
        <w:rPr>
          <w:rFonts w:ascii="Verdana" w:hAnsi="Verdana"/>
        </w:rPr>
        <w:br/>
      </w:r>
      <w:r w:rsidRPr="009C7A74">
        <w:rPr>
          <w:rFonts w:ascii="Segoe UI Symbol" w:hAnsi="Segoe UI Symbol" w:cs="Segoe UI Symbol"/>
        </w:rPr>
        <w:t>✓</w:t>
      </w:r>
      <w:r w:rsidRPr="009C7A74">
        <w:rPr>
          <w:rFonts w:ascii="Verdana" w:hAnsi="Verdana"/>
        </w:rPr>
        <w:t xml:space="preserve"> dotyczące różnych formy </w:t>
      </w:r>
      <w:proofErr w:type="spellStart"/>
      <w:r w:rsidRPr="009C7A74">
        <w:rPr>
          <w:rFonts w:ascii="Verdana" w:hAnsi="Verdana"/>
        </w:rPr>
        <w:t>mobbingu</w:t>
      </w:r>
      <w:proofErr w:type="spellEnd"/>
      <w:r w:rsidRPr="009C7A74">
        <w:rPr>
          <w:rFonts w:ascii="Verdana" w:hAnsi="Verdana"/>
        </w:rPr>
        <w:t xml:space="preserve">, jak zrozumieć jego wpływ na zespół oraz jak skutecznie reagować i zapobiegać sytuacjom o charakterze </w:t>
      </w:r>
      <w:proofErr w:type="spellStart"/>
      <w:r w:rsidRPr="009C7A74">
        <w:rPr>
          <w:rFonts w:ascii="Verdana" w:hAnsi="Verdana"/>
        </w:rPr>
        <w:t>mobbingu</w:t>
      </w:r>
      <w:proofErr w:type="spellEnd"/>
      <w:r w:rsidRPr="009C7A74">
        <w:rPr>
          <w:rFonts w:ascii="Verdana" w:hAnsi="Verdana"/>
        </w:rPr>
        <w:t xml:space="preserve"> w przyszłości,</w:t>
      </w:r>
      <w:r w:rsidRPr="009C7A74">
        <w:rPr>
          <w:rFonts w:ascii="Verdana" w:hAnsi="Verdana"/>
        </w:rPr>
        <w:br/>
      </w:r>
      <w:r w:rsidRPr="009C7A74">
        <w:rPr>
          <w:rFonts w:ascii="Segoe UI Symbol" w:hAnsi="Segoe UI Symbol" w:cs="Segoe UI Symbol"/>
        </w:rPr>
        <w:t>✓</w:t>
      </w:r>
      <w:r w:rsidRPr="009C7A74">
        <w:rPr>
          <w:rFonts w:ascii="Verdana" w:hAnsi="Verdana"/>
        </w:rPr>
        <w:t xml:space="preserve"> rozpoznawania/uważności (szczególnie menedżerowie/pracodawcy) na zachowania i relacje w zespołach.</w:t>
      </w:r>
      <w:r w:rsidRPr="009C7A74">
        <w:rPr>
          <w:rFonts w:ascii="Verdana" w:hAnsi="Verdana"/>
        </w:rPr>
        <w:br/>
      </w:r>
      <w:r w:rsidRPr="009C7A74">
        <w:rPr>
          <w:rFonts w:ascii="Segoe UI Symbol" w:hAnsi="Segoe UI Symbol" w:cs="Segoe UI Symbol"/>
        </w:rPr>
        <w:t>✓</w:t>
      </w:r>
      <w:r w:rsidRPr="009C7A74">
        <w:rPr>
          <w:rFonts w:ascii="Verdana" w:hAnsi="Verdana"/>
        </w:rPr>
        <w:t xml:space="preserve"> do promowania bezpiecznego i wspierającego środowiska pracy</w:t>
      </w:r>
      <w:r w:rsidRPr="009C7A74">
        <w:rPr>
          <w:rFonts w:ascii="Verdana" w:hAnsi="Verdana"/>
        </w:rPr>
        <w:br/>
      </w:r>
      <w:r w:rsidRPr="009C7A74">
        <w:rPr>
          <w:rFonts w:ascii="Segoe UI Symbol" w:hAnsi="Segoe UI Symbol" w:cs="Segoe UI Symbol"/>
        </w:rPr>
        <w:t>✓</w:t>
      </w:r>
      <w:r w:rsidRPr="009C7A74">
        <w:rPr>
          <w:rFonts w:ascii="Verdana" w:hAnsi="Verdana"/>
        </w:rPr>
        <w:t xml:space="preserve"> na temat skutków społecznych i prawnych </w:t>
      </w:r>
      <w:proofErr w:type="spellStart"/>
      <w:r w:rsidRPr="009C7A74">
        <w:rPr>
          <w:rFonts w:ascii="Verdana" w:hAnsi="Verdana"/>
        </w:rPr>
        <w:t>mobbingu</w:t>
      </w:r>
      <w:proofErr w:type="spellEnd"/>
      <w:r w:rsidRPr="009C7A74">
        <w:rPr>
          <w:rFonts w:ascii="Verdana" w:hAnsi="Verdana"/>
        </w:rPr>
        <w:t xml:space="preserve"> lub dyskryminacji</w:t>
      </w:r>
      <w:r w:rsidRPr="009C7A74">
        <w:rPr>
          <w:rFonts w:ascii="Verdana" w:hAnsi="Verdana"/>
        </w:rPr>
        <w:br/>
      </w:r>
      <w:r w:rsidRPr="009C7A74">
        <w:rPr>
          <w:rFonts w:ascii="Segoe UI Symbol" w:hAnsi="Segoe UI Symbol" w:cs="Segoe UI Symbol"/>
        </w:rPr>
        <w:t>✓</w:t>
      </w:r>
      <w:r w:rsidRPr="009C7A74">
        <w:rPr>
          <w:rFonts w:ascii="Verdana" w:hAnsi="Verdana"/>
        </w:rPr>
        <w:t xml:space="preserve"> dotyczące wdrażania procedur przeciwdziałania i reagowania na przypadki nieprawidłowości.</w:t>
      </w:r>
      <w:r w:rsidRPr="009C7A74">
        <w:rPr>
          <w:rFonts w:ascii="Verdana" w:hAnsi="Verdana"/>
        </w:rPr>
        <w:br/>
      </w:r>
      <w:r w:rsidRPr="009C7A74">
        <w:rPr>
          <w:rFonts w:ascii="Verdana" w:hAnsi="Verdana"/>
        </w:rPr>
        <w:br/>
        <w:t>Szkolenia tego typu mają na celu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</w:t>
      </w:r>
    </w:p>
    <w:p w14:paraId="30C2FDA9" w14:textId="77777777" w:rsidR="001507C6" w:rsidRPr="009C7A74" w:rsidRDefault="001507C6">
      <w:pPr>
        <w:rPr>
          <w:rFonts w:ascii="Verdana" w:hAnsi="Verdana"/>
        </w:rPr>
      </w:pPr>
    </w:p>
    <w:p w14:paraId="2213DE06" w14:textId="7B20D3DD" w:rsidR="001507C6" w:rsidRPr="009C7A74" w:rsidRDefault="009C7A74">
      <w:pPr>
        <w:rPr>
          <w:rFonts w:ascii="Verdana" w:hAnsi="Verdana"/>
        </w:rPr>
      </w:pPr>
      <w:r w:rsidRPr="00A21721">
        <w:rPr>
          <w:rFonts w:ascii="Verdana" w:hAnsi="Verdana" w:cs="Cambria Math"/>
          <w:b/>
          <w:bCs/>
          <w:color w:val="EE0000"/>
        </w:rPr>
        <w:t>PRIORYTET NR 2: WSPARCIE ROZWOJU UMIEJĘTNOŚCI I KWALIFIKACJI W ZAWODACH OKREŚLONYCH JAKO DEFICYTOWE NA DANYM TERENIE TJ. W POWIECIE CZY WOJEWÓDZTWIE</w:t>
      </w:r>
      <w:r w:rsidR="001507C6" w:rsidRPr="009C7A74">
        <w:rPr>
          <w:rFonts w:ascii="Verdana" w:hAnsi="Verdana"/>
        </w:rPr>
        <w:br/>
      </w:r>
      <w:r w:rsidR="001507C6" w:rsidRPr="009C7A74">
        <w:rPr>
          <w:rFonts w:ascii="Verdana" w:hAnsi="Verdana"/>
        </w:rPr>
        <w:br/>
        <w:t xml:space="preserve">Wnioskodawca, który chce spełnić wymagania niniejszego priorytetu powinien udowodnić, że wskazana forma kształcenia ustawicznego dotyczy zawodu </w:t>
      </w:r>
      <w:r w:rsidR="001507C6" w:rsidRPr="009C7A74">
        <w:rPr>
          <w:rFonts w:ascii="Verdana" w:hAnsi="Verdana"/>
        </w:rPr>
        <w:lastRenderedPageBreak/>
        <w:t>deficytowego na terenie danego powiatu bądź województwa. Oznacza to zawód zidentyfikowany jako deficytowy w oparciu o wyniki „Barometru zawodów”.</w:t>
      </w:r>
      <w:r w:rsidR="001507C6" w:rsidRPr="009C7A74">
        <w:rPr>
          <w:rFonts w:ascii="Verdana" w:hAnsi="Verdana"/>
        </w:rPr>
        <w:br/>
      </w:r>
      <w:r w:rsidR="001507C6" w:rsidRPr="009C7A74">
        <w:rPr>
          <w:rFonts w:ascii="Verdana" w:hAnsi="Verdana"/>
        </w:rPr>
        <w:br/>
      </w:r>
      <w:r w:rsidR="001507C6" w:rsidRPr="009C7A74">
        <w:rPr>
          <w:rFonts w:ascii="Cambria Math" w:hAnsi="Cambria Math" w:cs="Cambria Math"/>
        </w:rPr>
        <w:t>𝐙𝐚𝐰𝐨𝐝𝐲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𝐝𝐞𝐟𝐢𝐜𝐲𝐭𝐨𝐰𝐞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𝐛𝐞</w:t>
      </w:r>
      <w:r w:rsidR="001507C6" w:rsidRPr="009C7A74">
        <w:rPr>
          <w:rFonts w:ascii="Arial" w:hAnsi="Arial" w:cs="Arial"/>
        </w:rPr>
        <w:t>̨</w:t>
      </w:r>
      <w:r w:rsidR="001507C6" w:rsidRPr="009C7A74">
        <w:rPr>
          <w:rFonts w:ascii="Cambria Math" w:hAnsi="Cambria Math" w:cs="Cambria Math"/>
        </w:rPr>
        <w:t>𝐝𝐚</w:t>
      </w:r>
      <w:r w:rsidR="001507C6" w:rsidRPr="009C7A74">
        <w:rPr>
          <w:rFonts w:ascii="Arial" w:hAnsi="Arial" w:cs="Arial"/>
        </w:rPr>
        <w:t>̨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𝐢𝐝𝐞𝐧𝐭𝐲𝐟𝐢𝐤𝐨𝐰𝐚𝐧𝐞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𝐧𝐚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𝐩𝐨𝐝𝐬𝐭𝐚𝐰𝐢𝐞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𝐁𝐚𝐫𝐨𝐦𝐞𝐭𝐫𝐮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𝐙𝐚𝐰𝐨𝐝𝐨</w:t>
      </w:r>
      <w:r w:rsidR="001507C6" w:rsidRPr="009C7A74">
        <w:rPr>
          <w:rFonts w:ascii="Verdana" w:hAnsi="Verdana"/>
        </w:rPr>
        <w:t>́</w:t>
      </w:r>
      <w:r w:rsidR="001507C6" w:rsidRPr="009C7A74">
        <w:rPr>
          <w:rFonts w:ascii="Cambria Math" w:hAnsi="Cambria Math" w:cs="Cambria Math"/>
        </w:rPr>
        <w:t>𝐰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𝟐𝟎𝟐</w:t>
      </w:r>
      <w:r w:rsidR="001507C6" w:rsidRPr="009C7A74">
        <w:rPr>
          <w:rFonts w:ascii="Verdana" w:hAnsi="Verdana" w:cs="Cambria Math"/>
        </w:rPr>
        <w:t>6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𝐝𝐥𝐚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𝐩𝐨𝐰𝐢𝐚𝐭𝐮</w:t>
      </w:r>
      <w:r w:rsidR="001507C6" w:rsidRPr="009C7A74">
        <w:rPr>
          <w:rFonts w:ascii="Verdana" w:hAnsi="Verdana"/>
        </w:rPr>
        <w:t xml:space="preserve"> </w:t>
      </w:r>
      <w:r w:rsidR="001507C6" w:rsidRPr="009C7A74">
        <w:rPr>
          <w:rFonts w:ascii="Cambria Math" w:hAnsi="Cambria Math" w:cs="Cambria Math"/>
        </w:rPr>
        <w:t>𝐧𝐨𝐰𝐨𝐭𝐨𝐦𝐲𝐬𝐤𝐢𝐞𝐠𝐨</w:t>
      </w:r>
      <w:r w:rsidR="001507C6" w:rsidRPr="009C7A74">
        <w:rPr>
          <w:rFonts w:ascii="Verdana" w:hAnsi="Verdana"/>
        </w:rPr>
        <w:t>. </w:t>
      </w:r>
    </w:p>
    <w:p w14:paraId="1D0A8FEC" w14:textId="77777777" w:rsidR="001507C6" w:rsidRPr="009C7A74" w:rsidRDefault="001507C6">
      <w:pPr>
        <w:rPr>
          <w:rFonts w:ascii="Verdana" w:hAnsi="Verdana"/>
        </w:rPr>
      </w:pPr>
    </w:p>
    <w:p w14:paraId="6AE81B04" w14:textId="5CBF15D5" w:rsidR="001507C6" w:rsidRPr="00A21721" w:rsidRDefault="001507C6">
      <w:pPr>
        <w:rPr>
          <w:rFonts w:ascii="Verdana" w:hAnsi="Verdana"/>
          <w:b/>
          <w:bCs/>
          <w:color w:val="EE0000"/>
        </w:rPr>
      </w:pPr>
      <w:r w:rsidRPr="00A21721">
        <w:rPr>
          <w:rFonts w:ascii="Verdana" w:hAnsi="Verdana"/>
          <w:b/>
          <w:bCs/>
          <w:color w:val="EE0000"/>
        </w:rPr>
        <w:t>PRIORYTET NR 3: WSPARCIE KSZTAŁCENIA USTAWICZNEGO W ZWIĄZKU Z ZASTOSOWANIEM W FIRMACH NOWYCH PROCESÓW, TECHNOLOGII I NARZĘDZI PRACY, ZE SZCZEGÓLNYM UWZGLĘDNIENIEM  UMIEJĘTNOŚCI CYFROWYCH, AI ORAZ TZW. UMIEJĘTNOŚCI ZIELONYCH, ZWŁASZCZA GDY POWYŻSZE CZYNNIKI STANOWIĄ ZAGROŻENIE UTRATĄ PRACY</w:t>
      </w:r>
    </w:p>
    <w:p w14:paraId="12D1DD71" w14:textId="77777777" w:rsidR="009C7A74" w:rsidRPr="009C7A74" w:rsidRDefault="009C7A74">
      <w:pPr>
        <w:rPr>
          <w:rFonts w:ascii="Verdana" w:hAnsi="Verdana"/>
        </w:rPr>
      </w:pPr>
    </w:p>
    <w:p w14:paraId="73BE18C6" w14:textId="069FD98B" w:rsidR="009C7A74" w:rsidRP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>Przez „nowe procesy, technologie czy narzędzia pracy” w niniejszym priorytecie należy rozumieć procesy, technologie, maszyny czy rozwiązania nowe dla wnioskodawcy a pod pojęciem procesów należy rozumieć zaś serię powiązanych ze sobą działań lub zadań, które rozwiązują problem lub prowadzą do osiągnięcia określonego efektu.</w:t>
      </w:r>
    </w:p>
    <w:p w14:paraId="0D1DD9C6" w14:textId="5FF4DB6B" w:rsidR="009C7A74" w:rsidRP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>Bardzo ważne jest aby osoby funkcjonujące na rynku pracy były wyposażone w umiejętności, które nie będą się szybko dezaktualizować i pozwolą na stały rozwój posiadanego doświadczenia, wiedzy i umiejętności.</w:t>
      </w:r>
    </w:p>
    <w:p w14:paraId="434BC052" w14:textId="2D95289C" w:rsidR="009C7A74" w:rsidRP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 xml:space="preserve">Dlatego tak istotne jest nabywanie czy rozwój kompetencji cyfrowych czy AI. Kompetencje cyfrowe obejmują również zagadnienia związane z komunikowaniem się, umiejętnościami korzystania z mediów, umiejętnościami wyszukiwania i korzystania z różnego typu danych w formie elektronicznej czy </w:t>
      </w:r>
      <w:proofErr w:type="spellStart"/>
      <w:r w:rsidRPr="009C7A74">
        <w:rPr>
          <w:rFonts w:ascii="Verdana" w:hAnsi="Verdana"/>
        </w:rPr>
        <w:t>cyberbezpieczeństwem</w:t>
      </w:r>
      <w:proofErr w:type="spellEnd"/>
      <w:r w:rsidRPr="009C7A74">
        <w:rPr>
          <w:rFonts w:ascii="Verdana" w:hAnsi="Verdana"/>
        </w:rPr>
        <w:t>.</w:t>
      </w:r>
    </w:p>
    <w:p w14:paraId="17987821" w14:textId="4C125EDA" w:rsidR="009C7A74" w:rsidRP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 pracy w związku z wdrożeniem nowego procesu.</w:t>
      </w:r>
    </w:p>
    <w:p w14:paraId="2A54F0DB" w14:textId="77777777" w:rsidR="009C7A74" w:rsidRPr="009C7A74" w:rsidRDefault="009C7A74">
      <w:pPr>
        <w:rPr>
          <w:rFonts w:ascii="Verdana" w:hAnsi="Verdana"/>
        </w:rPr>
      </w:pPr>
    </w:p>
    <w:p w14:paraId="3F10621D" w14:textId="70BD26D3" w:rsidR="009C7A74" w:rsidRPr="00A21721" w:rsidRDefault="009C7A74">
      <w:pPr>
        <w:rPr>
          <w:rFonts w:ascii="Verdana" w:hAnsi="Verdana"/>
          <w:b/>
          <w:bCs/>
          <w:color w:val="EE0000"/>
        </w:rPr>
      </w:pPr>
      <w:r w:rsidRPr="00A21721">
        <w:rPr>
          <w:rFonts w:ascii="Verdana" w:hAnsi="Verdana"/>
          <w:b/>
          <w:bCs/>
          <w:color w:val="EE0000"/>
        </w:rPr>
        <w:t>PRIORYTET NR 4: 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MRPIPS.</w:t>
      </w:r>
    </w:p>
    <w:p w14:paraId="6FB07A50" w14:textId="77777777" w:rsidR="009C7A74" w:rsidRPr="009C7A74" w:rsidRDefault="009C7A74">
      <w:pPr>
        <w:rPr>
          <w:rFonts w:ascii="Verdana" w:hAnsi="Verdana"/>
        </w:rPr>
      </w:pPr>
    </w:p>
    <w:p w14:paraId="28C8478F" w14:textId="5AA7E33B" w:rsidR="009C7A74" w:rsidRP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 xml:space="preserve">Pierwsza część adresowana jest do podmiotów działających  w sektorze usług zdrowotnych i opiekuńczych. Zgodnie z ustawą z dnia 15 kwietnia 2011 r. o </w:t>
      </w:r>
      <w:r w:rsidRPr="009C7A74">
        <w:rPr>
          <w:rFonts w:ascii="Verdana" w:hAnsi="Verdana"/>
        </w:rPr>
        <w:lastRenderedPageBreak/>
        <w:t>działalności leczniczej (</w:t>
      </w:r>
      <w:proofErr w:type="spellStart"/>
      <w:r w:rsidRPr="009C7A74">
        <w:rPr>
          <w:rFonts w:ascii="Verdana" w:hAnsi="Verdana"/>
        </w:rPr>
        <w:t>t.j</w:t>
      </w:r>
      <w:proofErr w:type="spellEnd"/>
      <w:r w:rsidRPr="009C7A74">
        <w:rPr>
          <w:rFonts w:ascii="Verdana" w:hAnsi="Verdana"/>
        </w:rPr>
        <w:t>. Dz. U. z 2024 r. poz. 799) świadczeniami zdrowotnymi są działania służące zachowaniu, ratowaniu, przywracaniu lub poprawie zdrowia oraz inne działania medyczne wynikające z procesu leczenia. Udzielanie świadczeń zdrowotnych odbywa się w ramach działalności leczniczej. Ustawodawca wyodrębnił przy tym jej dwa rodzaje – polegającą na: stacjonarnym i całodobowym udzielaniu świadczeń zdrowotnych oraz ambulatoryjnym udzielaniu świadczeń zdrowotnych – czyli w warunkach niewymagających udzielania świadczeń w trybie stacjonarnym i całodobowym.</w:t>
      </w:r>
    </w:p>
    <w:p w14:paraId="2BF6A571" w14:textId="77777777" w:rsidR="009C7A74" w:rsidRPr="009C7A74" w:rsidRDefault="009C7A74">
      <w:pPr>
        <w:rPr>
          <w:rFonts w:ascii="Verdana" w:hAnsi="Verdana"/>
        </w:rPr>
      </w:pPr>
    </w:p>
    <w:p w14:paraId="73D466A4" w14:textId="77777777" w:rsidR="009C7A74" w:rsidRP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 xml:space="preserve">Podmiotami uprawnionymi do korzystania z środków w ramach drugiej części niniejszego  priorytetu są: </w:t>
      </w:r>
    </w:p>
    <w:p w14:paraId="16ADC293" w14:textId="4ABDF107" w:rsidR="009C7A74" w:rsidRP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 xml:space="preserve">a) Przedsiębiorstwa społeczne wpisane do wykazu przedsiębiorstw społecznych, który zgodnie z ustawą o ekonomii społecznej prowadzony jest przez </w:t>
      </w:r>
      <w:proofErr w:type="spellStart"/>
      <w:r w:rsidRPr="009C7A74">
        <w:rPr>
          <w:rFonts w:ascii="Verdana" w:hAnsi="Verdana"/>
        </w:rPr>
        <w:t>MRPiPS</w:t>
      </w:r>
      <w:proofErr w:type="spellEnd"/>
      <w:r w:rsidRPr="009C7A74">
        <w:rPr>
          <w:rFonts w:ascii="Verdana" w:hAnsi="Verdana"/>
        </w:rPr>
        <w:t xml:space="preserve"> w systemie Rejestr Jednostek Pomocy Społecznej (RJPS)</w:t>
      </w:r>
    </w:p>
    <w:p w14:paraId="49CA2F94" w14:textId="7287470F" w:rsidR="009C7A74" w:rsidRDefault="009C7A74">
      <w:pPr>
        <w:rPr>
          <w:rFonts w:ascii="Verdana" w:hAnsi="Verdana"/>
        </w:rPr>
      </w:pPr>
      <w:r w:rsidRPr="009C7A74">
        <w:rPr>
          <w:rFonts w:ascii="Verdana" w:hAnsi="Verdana"/>
        </w:rPr>
        <w:t>b) Spółdzielnie socjalne – to podmioty wpisane do Krajowego Rejestru Sądowego, na tej podstawie można zweryfikować ich formę prawną. Spółdzielnie socjalne mogą uzyskać status przedsiębiorstwa społecznego.</w:t>
      </w:r>
    </w:p>
    <w:p w14:paraId="413F6F73" w14:textId="77777777" w:rsidR="00A46102" w:rsidRDefault="00A46102">
      <w:pPr>
        <w:rPr>
          <w:rFonts w:ascii="Verdana" w:hAnsi="Verdana"/>
        </w:rPr>
      </w:pPr>
    </w:p>
    <w:p w14:paraId="4CB209EA" w14:textId="064DF9CA" w:rsidR="00A46102" w:rsidRPr="00A21721" w:rsidRDefault="00A46102">
      <w:pPr>
        <w:rPr>
          <w:rFonts w:ascii="Verdana" w:hAnsi="Verdana"/>
          <w:b/>
          <w:bCs/>
          <w:color w:val="EE0000"/>
        </w:rPr>
      </w:pPr>
      <w:r w:rsidRPr="00A21721">
        <w:rPr>
          <w:rFonts w:ascii="Verdana" w:hAnsi="Verdana"/>
          <w:b/>
          <w:bCs/>
          <w:color w:val="EE0000"/>
        </w:rPr>
        <w:t>PRIORYTET REGIONALNY: WYDŁUŻENIE AKTYWNOŚCI ZAWODOWEJ OSÓB PRACUJĄCYCH OBJĘTYCH OCHRONĄ PRZEDEMERYTALNĄ I OSÓB, KTÓRE OSIĄGNĘŁY WIEK EMERYTALNY</w:t>
      </w:r>
    </w:p>
    <w:p w14:paraId="72E9C977" w14:textId="77777777" w:rsidR="00A46102" w:rsidRDefault="00A46102">
      <w:pPr>
        <w:rPr>
          <w:rFonts w:ascii="Verdana" w:hAnsi="Verdana"/>
        </w:rPr>
      </w:pPr>
    </w:p>
    <w:p w14:paraId="53080450" w14:textId="1B03E1B6" w:rsidR="00A46102" w:rsidRDefault="00A46102">
      <w:pPr>
        <w:rPr>
          <w:rFonts w:ascii="Verdana" w:hAnsi="Verdana"/>
        </w:rPr>
      </w:pPr>
      <w:r w:rsidRPr="00A46102">
        <w:rPr>
          <w:rFonts w:ascii="Verdana" w:hAnsi="Verdana"/>
        </w:rPr>
        <w:t>Wojewódz</w:t>
      </w:r>
      <w:r>
        <w:rPr>
          <w:rFonts w:ascii="Verdana" w:hAnsi="Verdana"/>
        </w:rPr>
        <w:t xml:space="preserve">two wielkopolskie </w:t>
      </w:r>
      <w:r w:rsidRPr="00A46102">
        <w:rPr>
          <w:rFonts w:ascii="Verdana" w:hAnsi="Verdana"/>
        </w:rPr>
        <w:t xml:space="preserve">stawia na wydłużenie aktywności zawodowej osób starszych </w:t>
      </w:r>
      <w:r>
        <w:rPr>
          <w:rFonts w:ascii="Verdana" w:hAnsi="Verdana"/>
        </w:rPr>
        <w:t>w</w:t>
      </w:r>
      <w:r w:rsidRPr="00A46102">
        <w:rPr>
          <w:rFonts w:ascii="Verdana" w:hAnsi="Verdana"/>
        </w:rPr>
        <w:t>spiera</w:t>
      </w:r>
      <w:r>
        <w:rPr>
          <w:rFonts w:ascii="Verdana" w:hAnsi="Verdana"/>
        </w:rPr>
        <w:t>jąc</w:t>
      </w:r>
      <w:r w:rsidRPr="00A46102">
        <w:rPr>
          <w:rFonts w:ascii="Verdana" w:hAnsi="Verdana"/>
        </w:rPr>
        <w:t xml:space="preserve"> szkolenia dla pracowników w wieku przedemerytalnym (kobiety 56+, mężczyźni 61+) oraz tych, którzy osiągnęli wiek emerytalny, w celu aktualizacji kompetencji.</w:t>
      </w:r>
    </w:p>
    <w:p w14:paraId="25B00235" w14:textId="77777777" w:rsidR="00A46102" w:rsidRDefault="00A46102">
      <w:pPr>
        <w:rPr>
          <w:rFonts w:ascii="Verdana" w:hAnsi="Verdana"/>
        </w:rPr>
      </w:pPr>
    </w:p>
    <w:p w14:paraId="0C831161" w14:textId="77777777" w:rsidR="00A46102" w:rsidRPr="00A46102" w:rsidRDefault="00A46102">
      <w:pPr>
        <w:rPr>
          <w:rFonts w:ascii="Verdana" w:hAnsi="Verdana"/>
          <w:b/>
          <w:bCs/>
        </w:rPr>
      </w:pPr>
    </w:p>
    <w:p w14:paraId="5CF77D2F" w14:textId="32C79DDE" w:rsidR="00A46102" w:rsidRPr="00A21721" w:rsidRDefault="00A46102">
      <w:pPr>
        <w:rPr>
          <w:rFonts w:ascii="Verdana" w:hAnsi="Verdana"/>
          <w:b/>
          <w:bCs/>
          <w:color w:val="EE0000"/>
        </w:rPr>
      </w:pPr>
      <w:r w:rsidRPr="00A21721">
        <w:rPr>
          <w:rFonts w:ascii="Verdana" w:hAnsi="Verdana"/>
          <w:b/>
          <w:bCs/>
          <w:color w:val="EE0000"/>
        </w:rPr>
        <w:t>PRIORYTET  LOKALNY: WSPARCIE KSZTAŁCENIA USTAWICZNEGO U MIKRO PRZEDSIĘBIORCY</w:t>
      </w:r>
    </w:p>
    <w:p w14:paraId="0C68243D" w14:textId="77777777" w:rsidR="00012EA2" w:rsidRDefault="00012EA2">
      <w:pPr>
        <w:rPr>
          <w:rFonts w:ascii="Verdana" w:hAnsi="Verdana"/>
          <w:b/>
          <w:bCs/>
        </w:rPr>
      </w:pPr>
    </w:p>
    <w:p w14:paraId="2DD4ECB0" w14:textId="15F6139D" w:rsidR="00012EA2" w:rsidRPr="00012EA2" w:rsidRDefault="00012EA2">
      <w:pPr>
        <w:rPr>
          <w:rFonts w:ascii="Verdana" w:hAnsi="Verdana"/>
        </w:rPr>
      </w:pPr>
      <w:r w:rsidRPr="00012EA2">
        <w:rPr>
          <w:rFonts w:ascii="Verdana" w:hAnsi="Verdana"/>
        </w:rPr>
        <w:t>Pomoc skierowana jest do mikro firm czyli przedsiębiorstw, które w co najmniej jednym z dwóch ostatnich lat obrotowych zatrudniali średniorocznie mniej niż 10 pracowników oraz osiągnęli roczny obrót netto lub sumę aktywów bilansu nieprzekraczającą równowartości 2 mln euro. </w:t>
      </w:r>
    </w:p>
    <w:sectPr w:rsidR="00012EA2" w:rsidRPr="0001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C6"/>
    <w:rsid w:val="00012EA2"/>
    <w:rsid w:val="001507C6"/>
    <w:rsid w:val="003F19A4"/>
    <w:rsid w:val="00523E67"/>
    <w:rsid w:val="009C584B"/>
    <w:rsid w:val="009C7A74"/>
    <w:rsid w:val="00A210EC"/>
    <w:rsid w:val="00A21721"/>
    <w:rsid w:val="00A46102"/>
    <w:rsid w:val="00D205DF"/>
    <w:rsid w:val="00EC4B23"/>
    <w:rsid w:val="00E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F110"/>
  <w15:chartTrackingRefBased/>
  <w15:docId w15:val="{F223437C-D0A5-4B0A-9A9D-0A72C09E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7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7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7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7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7C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61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Witucka</dc:creator>
  <cp:keywords/>
  <dc:description/>
  <cp:lastModifiedBy>Karolina Witucka</cp:lastModifiedBy>
  <cp:revision>2</cp:revision>
  <dcterms:created xsi:type="dcterms:W3CDTF">2026-03-20T07:19:00Z</dcterms:created>
  <dcterms:modified xsi:type="dcterms:W3CDTF">2026-03-20T07:19:00Z</dcterms:modified>
</cp:coreProperties>
</file>